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97" w:rsidRPr="00A61297" w:rsidRDefault="00A61297" w:rsidP="00835A0E">
      <w:pPr>
        <w:ind w:left="12474"/>
        <w:rPr>
          <w:rStyle w:val="25pt"/>
          <w:rFonts w:eastAsia="Microsoft Sans Serif"/>
          <w:sz w:val="20"/>
          <w:szCs w:val="20"/>
        </w:rPr>
      </w:pPr>
      <w:bookmarkStart w:id="0" w:name="_GoBack"/>
      <w:bookmarkEnd w:id="0"/>
      <w:r w:rsidRPr="00A61297">
        <w:rPr>
          <w:rStyle w:val="25pt"/>
          <w:rFonts w:eastAsia="Microsoft Sans Serif"/>
          <w:sz w:val="20"/>
          <w:szCs w:val="20"/>
        </w:rPr>
        <w:t>Приложение</w:t>
      </w:r>
      <w:r>
        <w:rPr>
          <w:rStyle w:val="25pt"/>
          <w:rFonts w:eastAsia="Microsoft Sans Serif"/>
          <w:sz w:val="20"/>
          <w:szCs w:val="20"/>
        </w:rPr>
        <w:t xml:space="preserve"> </w:t>
      </w:r>
      <w:r w:rsidR="003F3E91">
        <w:rPr>
          <w:rStyle w:val="25pt"/>
          <w:rFonts w:eastAsia="Microsoft Sans Serif"/>
          <w:sz w:val="20"/>
          <w:szCs w:val="20"/>
        </w:rPr>
        <w:t>2</w:t>
      </w:r>
    </w:p>
    <w:p w:rsidR="00A61297" w:rsidRPr="00A61297" w:rsidRDefault="00A61297" w:rsidP="00835A0E">
      <w:pPr>
        <w:ind w:left="12474"/>
        <w:rPr>
          <w:rStyle w:val="25pt"/>
          <w:rFonts w:eastAsia="Microsoft Sans Serif"/>
          <w:sz w:val="20"/>
          <w:szCs w:val="20"/>
        </w:rPr>
      </w:pPr>
      <w:r w:rsidRPr="00A61297">
        <w:rPr>
          <w:rStyle w:val="25pt"/>
          <w:rFonts w:eastAsia="Microsoft Sans Serif"/>
          <w:sz w:val="20"/>
          <w:szCs w:val="20"/>
        </w:rPr>
        <w:t>к приказу управы</w:t>
      </w:r>
    </w:p>
    <w:p w:rsidR="00A61297" w:rsidRDefault="00D055A0" w:rsidP="00835A0E">
      <w:pPr>
        <w:ind w:left="12474"/>
        <w:rPr>
          <w:rStyle w:val="25pt"/>
          <w:rFonts w:eastAsia="Microsoft Sans Serif"/>
          <w:sz w:val="20"/>
          <w:szCs w:val="20"/>
        </w:rPr>
      </w:pPr>
      <w:r w:rsidRPr="004A57E6">
        <w:rPr>
          <w:rStyle w:val="25pt"/>
          <w:rFonts w:eastAsia="Microsoft Sans Serif"/>
          <w:sz w:val="20"/>
          <w:szCs w:val="20"/>
        </w:rPr>
        <w:t>от «</w:t>
      </w:r>
      <w:r w:rsidR="004A57E6" w:rsidRPr="004A57E6">
        <w:rPr>
          <w:rStyle w:val="25pt"/>
          <w:rFonts w:eastAsia="Microsoft Sans Serif"/>
          <w:sz w:val="20"/>
          <w:szCs w:val="20"/>
        </w:rPr>
        <w:t>2</w:t>
      </w:r>
      <w:r w:rsidR="00103244">
        <w:rPr>
          <w:rStyle w:val="25pt"/>
          <w:rFonts w:eastAsia="Microsoft Sans Serif"/>
          <w:sz w:val="20"/>
          <w:szCs w:val="20"/>
        </w:rPr>
        <w:t>3</w:t>
      </w:r>
      <w:r w:rsidR="00A61297" w:rsidRPr="004A57E6">
        <w:rPr>
          <w:rStyle w:val="25pt"/>
          <w:rFonts w:eastAsia="Microsoft Sans Serif"/>
          <w:sz w:val="20"/>
          <w:szCs w:val="20"/>
        </w:rPr>
        <w:t xml:space="preserve">» </w:t>
      </w:r>
      <w:r w:rsidR="004C108F" w:rsidRPr="004A57E6">
        <w:rPr>
          <w:rStyle w:val="25pt"/>
          <w:rFonts w:eastAsia="Microsoft Sans Serif"/>
          <w:sz w:val="20"/>
          <w:szCs w:val="20"/>
        </w:rPr>
        <w:t>марта</w:t>
      </w:r>
      <w:r w:rsidR="00A61297" w:rsidRPr="004A57E6">
        <w:rPr>
          <w:rStyle w:val="25pt"/>
          <w:rFonts w:eastAsia="Microsoft Sans Serif"/>
          <w:sz w:val="20"/>
          <w:szCs w:val="20"/>
        </w:rPr>
        <w:t xml:space="preserve"> </w:t>
      </w:r>
      <w:r w:rsidR="00EA0172">
        <w:rPr>
          <w:rStyle w:val="25pt"/>
          <w:rFonts w:eastAsia="Microsoft Sans Serif"/>
          <w:sz w:val="20"/>
          <w:szCs w:val="20"/>
        </w:rPr>
        <w:t>202</w:t>
      </w:r>
      <w:r w:rsidR="00103244">
        <w:rPr>
          <w:rStyle w:val="25pt"/>
          <w:rFonts w:eastAsia="Microsoft Sans Serif"/>
          <w:sz w:val="20"/>
          <w:szCs w:val="20"/>
        </w:rPr>
        <w:t>6</w:t>
      </w:r>
      <w:r w:rsidR="00A61297" w:rsidRPr="004A57E6">
        <w:rPr>
          <w:rStyle w:val="25pt"/>
          <w:rFonts w:eastAsia="Microsoft Sans Serif"/>
          <w:sz w:val="20"/>
          <w:szCs w:val="20"/>
        </w:rPr>
        <w:t xml:space="preserve"> г. № </w:t>
      </w:r>
      <w:r w:rsidR="00EA0172">
        <w:rPr>
          <w:rStyle w:val="25pt"/>
          <w:rFonts w:eastAsia="Microsoft Sans Serif"/>
          <w:sz w:val="20"/>
          <w:szCs w:val="20"/>
        </w:rPr>
        <w:t>3</w:t>
      </w:r>
      <w:r w:rsidR="00103244">
        <w:rPr>
          <w:rStyle w:val="25pt"/>
          <w:rFonts w:eastAsia="Microsoft Sans Serif"/>
          <w:sz w:val="20"/>
          <w:szCs w:val="20"/>
        </w:rPr>
        <w:t>9</w:t>
      </w:r>
      <w:r w:rsidR="00A61297" w:rsidRPr="00A61297">
        <w:rPr>
          <w:rStyle w:val="25pt"/>
          <w:rFonts w:eastAsia="Microsoft Sans Serif"/>
          <w:sz w:val="20"/>
          <w:szCs w:val="20"/>
        </w:rPr>
        <w:t xml:space="preserve"> </w:t>
      </w:r>
      <w:r w:rsidR="00A61297">
        <w:rPr>
          <w:rStyle w:val="25pt"/>
          <w:rFonts w:eastAsia="Microsoft Sans Serif"/>
          <w:sz w:val="20"/>
          <w:szCs w:val="20"/>
        </w:rPr>
        <w:t xml:space="preserve"> </w:t>
      </w:r>
    </w:p>
    <w:p w:rsidR="00D330C7" w:rsidRPr="00835A0E" w:rsidRDefault="00D24566" w:rsidP="00A61297">
      <w:pPr>
        <w:jc w:val="center"/>
        <w:rPr>
          <w:rStyle w:val="25pt"/>
          <w:rFonts w:eastAsia="Microsoft Sans Serif"/>
          <w:b/>
          <w:sz w:val="22"/>
          <w:szCs w:val="20"/>
        </w:rPr>
      </w:pPr>
      <w:r w:rsidRPr="00835A0E">
        <w:rPr>
          <w:rStyle w:val="25pt"/>
          <w:rFonts w:eastAsia="Microsoft Sans Serif"/>
          <w:b/>
          <w:sz w:val="22"/>
          <w:szCs w:val="20"/>
        </w:rPr>
        <w:t>П</w:t>
      </w:r>
      <w:r w:rsidR="005A4349" w:rsidRPr="00835A0E">
        <w:rPr>
          <w:rStyle w:val="25pt"/>
          <w:rFonts w:eastAsia="Microsoft Sans Serif"/>
          <w:b/>
          <w:sz w:val="22"/>
          <w:szCs w:val="20"/>
        </w:rPr>
        <w:t>ла</w:t>
      </w:r>
      <w:r w:rsidRPr="00835A0E">
        <w:rPr>
          <w:rStyle w:val="25pt"/>
          <w:rFonts w:eastAsia="Microsoft Sans Serif"/>
          <w:b/>
          <w:sz w:val="22"/>
          <w:szCs w:val="20"/>
        </w:rPr>
        <w:t>н</w:t>
      </w:r>
      <w:r w:rsidR="005A4349" w:rsidRPr="00835A0E">
        <w:rPr>
          <w:rStyle w:val="25pt"/>
          <w:rFonts w:eastAsia="Microsoft Sans Serif"/>
          <w:b/>
          <w:sz w:val="22"/>
          <w:szCs w:val="20"/>
        </w:rPr>
        <w:t xml:space="preserve"> мероприятий ("дорожная карта") </w:t>
      </w:r>
      <w:r w:rsidR="00A61297" w:rsidRPr="00835A0E">
        <w:rPr>
          <w:rStyle w:val="25pt"/>
          <w:rFonts w:eastAsia="Microsoft Sans Serif"/>
          <w:b/>
          <w:sz w:val="22"/>
          <w:szCs w:val="20"/>
        </w:rPr>
        <w:br/>
      </w:r>
      <w:r w:rsidR="005A4349" w:rsidRPr="00835A0E">
        <w:rPr>
          <w:rStyle w:val="25pt"/>
          <w:rFonts w:eastAsia="Microsoft Sans Serif"/>
          <w:b/>
          <w:sz w:val="22"/>
          <w:szCs w:val="20"/>
        </w:rPr>
        <w:t xml:space="preserve">по снижению рисков нарушения антимонопольного законодательства управы района </w:t>
      </w:r>
      <w:r w:rsidR="00843EA0">
        <w:rPr>
          <w:rStyle w:val="25pt"/>
          <w:rFonts w:eastAsia="Microsoft Sans Serif"/>
          <w:b/>
          <w:sz w:val="22"/>
          <w:szCs w:val="20"/>
        </w:rPr>
        <w:t>Измайлово</w:t>
      </w:r>
      <w:r w:rsidR="005A4349" w:rsidRPr="00835A0E">
        <w:rPr>
          <w:rStyle w:val="25pt"/>
          <w:rFonts w:eastAsia="Microsoft Sans Serif"/>
          <w:b/>
          <w:sz w:val="22"/>
          <w:szCs w:val="20"/>
        </w:rPr>
        <w:t xml:space="preserve"> города Москвы на </w:t>
      </w:r>
      <w:r w:rsidR="00EA0172">
        <w:rPr>
          <w:rStyle w:val="25pt"/>
          <w:rFonts w:eastAsia="Microsoft Sans Serif"/>
          <w:b/>
          <w:sz w:val="22"/>
          <w:szCs w:val="20"/>
        </w:rPr>
        <w:t>202</w:t>
      </w:r>
      <w:r w:rsidR="00103244">
        <w:rPr>
          <w:rStyle w:val="25pt"/>
          <w:rFonts w:eastAsia="Microsoft Sans Serif"/>
          <w:b/>
          <w:sz w:val="22"/>
          <w:szCs w:val="20"/>
        </w:rPr>
        <w:t>6</w:t>
      </w:r>
      <w:r w:rsidR="005A4349" w:rsidRPr="00835A0E">
        <w:rPr>
          <w:rStyle w:val="25pt"/>
          <w:rFonts w:eastAsia="Microsoft Sans Serif"/>
          <w:b/>
          <w:sz w:val="22"/>
          <w:szCs w:val="20"/>
        </w:rPr>
        <w:t xml:space="preserve"> год</w:t>
      </w:r>
    </w:p>
    <w:p w:rsidR="00835A0E" w:rsidRPr="00A61297" w:rsidRDefault="00835A0E" w:rsidP="00A61297">
      <w:pPr>
        <w:jc w:val="center"/>
        <w:rPr>
          <w:rStyle w:val="25pt"/>
          <w:rFonts w:eastAsia="Microsoft Sans Serif"/>
          <w:b/>
          <w:sz w:val="20"/>
          <w:szCs w:val="20"/>
        </w:rPr>
      </w:pPr>
    </w:p>
    <w:tbl>
      <w:tblPr>
        <w:tblOverlap w:val="never"/>
        <w:tblW w:w="1616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472"/>
        <w:gridCol w:w="2922"/>
        <w:gridCol w:w="3119"/>
        <w:gridCol w:w="1701"/>
        <w:gridCol w:w="992"/>
        <w:gridCol w:w="1632"/>
        <w:gridCol w:w="2341"/>
      </w:tblGrid>
      <w:tr w:rsidR="00D330C7" w:rsidRPr="00D24566" w:rsidTr="00975464">
        <w:trPr>
          <w:trHeight w:val="586"/>
        </w:trPr>
        <w:tc>
          <w:tcPr>
            <w:tcW w:w="284" w:type="dxa"/>
            <w:shd w:val="clear" w:color="auto" w:fill="FFFFFF"/>
          </w:tcPr>
          <w:p w:rsidR="00D330C7" w:rsidRPr="00D24566" w:rsidRDefault="00A61297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25pt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Риск нарушения антимонопольного законодательства</w:t>
            </w:r>
          </w:p>
        </w:tc>
        <w:tc>
          <w:tcPr>
            <w:tcW w:w="1472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Об</w:t>
            </w:r>
            <w:r w:rsidR="00D24566" w:rsidRPr="00D24566">
              <w:rPr>
                <w:rStyle w:val="25pt"/>
                <w:sz w:val="18"/>
                <w:szCs w:val="18"/>
              </w:rPr>
              <w:t>щие</w:t>
            </w:r>
            <w:r w:rsidRPr="00D24566">
              <w:rPr>
                <w:rStyle w:val="25pt"/>
                <w:sz w:val="18"/>
                <w:szCs w:val="18"/>
              </w:rPr>
              <w:t xml:space="preserve"> меры по минимизации и устранению рисков (согласно карте рисков)</w:t>
            </w:r>
          </w:p>
        </w:tc>
        <w:tc>
          <w:tcPr>
            <w:tcW w:w="2922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Предложенные действия</w:t>
            </w:r>
          </w:p>
        </w:tc>
        <w:tc>
          <w:tcPr>
            <w:tcW w:w="3119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Необходимые ресурсы</w:t>
            </w:r>
          </w:p>
        </w:tc>
        <w:tc>
          <w:tcPr>
            <w:tcW w:w="1701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Распределение ответственности и полномочий</w:t>
            </w:r>
          </w:p>
        </w:tc>
        <w:tc>
          <w:tcPr>
            <w:tcW w:w="992" w:type="dxa"/>
            <w:shd w:val="clear" w:color="auto" w:fill="FFFFFF"/>
          </w:tcPr>
          <w:p w:rsidR="00D330C7" w:rsidRPr="00D24566" w:rsidRDefault="005A4349" w:rsidP="00F16986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Календар</w:t>
            </w:r>
            <w:r w:rsidR="00F16986">
              <w:rPr>
                <w:rStyle w:val="25pt"/>
                <w:sz w:val="18"/>
                <w:szCs w:val="18"/>
              </w:rPr>
              <w:t xml:space="preserve">-ный </w:t>
            </w:r>
            <w:r w:rsidRPr="00D24566">
              <w:rPr>
                <w:rStyle w:val="25pt"/>
                <w:sz w:val="18"/>
                <w:szCs w:val="18"/>
              </w:rPr>
              <w:t>план выполнени</w:t>
            </w:r>
            <w:r w:rsidR="00D24566">
              <w:rPr>
                <w:rStyle w:val="25pt"/>
                <w:sz w:val="18"/>
                <w:szCs w:val="18"/>
              </w:rPr>
              <w:t>я работ</w:t>
            </w:r>
          </w:p>
        </w:tc>
        <w:tc>
          <w:tcPr>
            <w:tcW w:w="1632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Критерии качества работы</w:t>
            </w:r>
          </w:p>
        </w:tc>
        <w:tc>
          <w:tcPr>
            <w:tcW w:w="2341" w:type="dxa"/>
            <w:shd w:val="clear" w:color="auto" w:fill="FFFFFF"/>
          </w:tcPr>
          <w:p w:rsidR="00D330C7" w:rsidRPr="00D24566" w:rsidRDefault="00D24566" w:rsidP="00A61297">
            <w:pPr>
              <w:pStyle w:val="2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Требования</w:t>
            </w:r>
            <w:r w:rsidR="005A4349" w:rsidRPr="00D24566">
              <w:rPr>
                <w:rStyle w:val="25pt"/>
                <w:sz w:val="18"/>
                <w:szCs w:val="18"/>
              </w:rPr>
              <w:t xml:space="preserve"> к обмену информацией и мониторингу</w:t>
            </w:r>
          </w:p>
        </w:tc>
      </w:tr>
      <w:tr w:rsidR="00D330C7" w:rsidRPr="00D24566" w:rsidTr="00975464">
        <w:trPr>
          <w:trHeight w:val="2160"/>
        </w:trPr>
        <w:tc>
          <w:tcPr>
            <w:tcW w:w="284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975464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5pt"/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Нарушение порядка заключения договоров в отношении государственного имущества</w:t>
            </w:r>
          </w:p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(</w:t>
            </w:r>
            <w:r w:rsidR="00D24566" w:rsidRPr="00835A0E">
              <w:rPr>
                <w:rStyle w:val="25pt"/>
                <w:sz w:val="20"/>
                <w:szCs w:val="18"/>
              </w:rPr>
              <w:t>ст.</w:t>
            </w:r>
            <w:r w:rsidRPr="00835A0E">
              <w:rPr>
                <w:rStyle w:val="25pt"/>
                <w:sz w:val="20"/>
                <w:szCs w:val="18"/>
              </w:rPr>
              <w:t>17</w:t>
            </w:r>
            <w:r w:rsidR="00D24566" w:rsidRPr="00835A0E">
              <w:rPr>
                <w:rStyle w:val="25pt"/>
                <w:sz w:val="20"/>
                <w:szCs w:val="18"/>
              </w:rPr>
              <w:t>.</w:t>
            </w:r>
            <w:r w:rsidRPr="00835A0E">
              <w:rPr>
                <w:rStyle w:val="25pt"/>
                <w:sz w:val="20"/>
                <w:szCs w:val="18"/>
              </w:rPr>
              <w:t>1 135-ФЗ)</w:t>
            </w:r>
          </w:p>
        </w:tc>
        <w:tc>
          <w:tcPr>
            <w:tcW w:w="1472" w:type="dxa"/>
            <w:shd w:val="clear" w:color="auto" w:fill="FFFFFF"/>
          </w:tcPr>
          <w:p w:rsidR="00D330C7" w:rsidRPr="00835A0E" w:rsidRDefault="00835A0E" w:rsidP="00835A0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6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</w:t>
            </w:r>
          </w:p>
          <w:p w:rsidR="00D330C7" w:rsidRPr="00835A0E" w:rsidRDefault="00835A0E" w:rsidP="00835A0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6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уровня системы внутреннего контроля</w:t>
            </w:r>
          </w:p>
        </w:tc>
        <w:tc>
          <w:tcPr>
            <w:tcW w:w="2922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Поддержание в актуальном состоянии правовой базы осуществления закупок товаров, работ, услуг для обеспечения государственных нужд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 контрактных служб, контрактных управляющих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3) </w:t>
            </w:r>
            <w:r w:rsidR="005A4349" w:rsidRPr="00835A0E">
              <w:rPr>
                <w:rStyle w:val="25pt"/>
                <w:sz w:val="20"/>
                <w:szCs w:val="18"/>
              </w:rPr>
              <w:t>Семинары и круглые столы с участием заказчиков</w:t>
            </w:r>
          </w:p>
          <w:p w:rsidR="00D330C7" w:rsidRPr="00835A0E" w:rsidRDefault="00835A0E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4)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 Детальное изучение и оценка всех факторов, влияющих на обоснование начальной (максимальной) цены контракта</w:t>
            </w:r>
          </w:p>
        </w:tc>
        <w:tc>
          <w:tcPr>
            <w:tcW w:w="3119" w:type="dxa"/>
            <w:shd w:val="clear" w:color="auto" w:fill="FFFFFF"/>
          </w:tcPr>
          <w:p w:rsidR="00835A0E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Справочно-правовая система, содержащая актуальные нормативные правовые акты, регулирующие вопросы осуществления закупок товаров, работ, услуг для обеспечения государственных нужд</w:t>
            </w:r>
          </w:p>
          <w:p w:rsidR="00835A0E" w:rsidRPr="00835A0E" w:rsidRDefault="00835A0E" w:rsidP="00835A0E">
            <w:pPr>
              <w:pStyle w:val="20"/>
              <w:shd w:val="clear" w:color="auto" w:fill="auto"/>
              <w:tabs>
                <w:tab w:val="left" w:pos="120"/>
              </w:tabs>
              <w:spacing w:line="240" w:lineRule="auto"/>
              <w:ind w:firstLine="0"/>
              <w:jc w:val="left"/>
              <w:rPr>
                <w:rStyle w:val="25pt"/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 контрактных служб, контрактных управляющих</w:t>
            </w:r>
          </w:p>
          <w:p w:rsidR="00835A0E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rStyle w:val="25pt"/>
                <w:sz w:val="20"/>
                <w:szCs w:val="18"/>
              </w:rPr>
            </w:pPr>
            <w:r w:rsidRPr="00835A0E">
              <w:rPr>
                <w:sz w:val="20"/>
                <w:szCs w:val="18"/>
              </w:rPr>
              <w:t xml:space="preserve">3) </w:t>
            </w:r>
            <w:r w:rsidR="005A4349" w:rsidRPr="00835A0E">
              <w:rPr>
                <w:rStyle w:val="25pt"/>
                <w:sz w:val="20"/>
                <w:szCs w:val="18"/>
              </w:rPr>
              <w:t>Семинары и круглые столы с участием заказчиков</w:t>
            </w:r>
            <w:r w:rsidRPr="00835A0E">
              <w:rPr>
                <w:rStyle w:val="25pt"/>
                <w:sz w:val="20"/>
                <w:szCs w:val="18"/>
              </w:rPr>
              <w:t xml:space="preserve"> 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4) </w:t>
            </w:r>
            <w:r w:rsidR="005A4349" w:rsidRPr="00835A0E">
              <w:rPr>
                <w:rStyle w:val="25pt"/>
                <w:sz w:val="20"/>
                <w:szCs w:val="18"/>
              </w:rPr>
              <w:t>Привлечение при разработке закуп</w:t>
            </w:r>
            <w:r w:rsidRPr="00835A0E">
              <w:rPr>
                <w:rStyle w:val="25pt"/>
                <w:sz w:val="20"/>
                <w:szCs w:val="18"/>
              </w:rPr>
              <w:t xml:space="preserve">очной документации специалистов </w:t>
            </w:r>
            <w:r w:rsidR="005A4349" w:rsidRPr="00835A0E">
              <w:rPr>
                <w:rStyle w:val="25pt"/>
                <w:sz w:val="20"/>
                <w:szCs w:val="18"/>
              </w:rPr>
              <w:t>в конкретной сфере экономической деятельности</w:t>
            </w:r>
          </w:p>
        </w:tc>
        <w:tc>
          <w:tcPr>
            <w:tcW w:w="1701" w:type="dxa"/>
            <w:shd w:val="clear" w:color="auto" w:fill="FFFFFF"/>
          </w:tcPr>
          <w:p w:rsidR="00D330C7" w:rsidRPr="00835A0E" w:rsidRDefault="00835A0E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Персональная ответственн</w:t>
            </w:r>
            <w:r w:rsidR="005A4349" w:rsidRPr="00835A0E">
              <w:rPr>
                <w:rStyle w:val="25pt"/>
                <w:sz w:val="20"/>
                <w:szCs w:val="18"/>
              </w:rPr>
              <w:t>ость каждого лица, вовлеченного в процесс подготовки и согласования закупочной документации</w:t>
            </w:r>
          </w:p>
        </w:tc>
        <w:tc>
          <w:tcPr>
            <w:tcW w:w="992" w:type="dxa"/>
            <w:shd w:val="clear" w:color="auto" w:fill="FFFFFF"/>
          </w:tcPr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Постоянно</w:t>
            </w:r>
          </w:p>
        </w:tc>
        <w:tc>
          <w:tcPr>
            <w:tcW w:w="1632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Исключение случаев описания объекта закупки, влекущих ограничение количества участников закупки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4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Исключение случаев нарушения порядка определения к обоснования начальной (максимальной) цены контракта</w:t>
            </w:r>
          </w:p>
        </w:tc>
        <w:tc>
          <w:tcPr>
            <w:tcW w:w="2341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Информационное взаимодействие с заказчиками с целью выработки единых подходов, в том числе к описанию объекта закупки, к определению и обоснованию начальной (максимальной) цены контракта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Мониторинг рассмотрения контрольными органами в сфере закупок, антимонопольным органом жалоб на действия (бездействие) субъектов контроля</w:t>
            </w:r>
          </w:p>
        </w:tc>
      </w:tr>
      <w:tr w:rsidR="00D330C7" w:rsidRPr="00D24566" w:rsidTr="00975464">
        <w:trPr>
          <w:trHeight w:val="2141"/>
        </w:trPr>
        <w:tc>
          <w:tcPr>
            <w:tcW w:w="284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835A0E" w:rsidRDefault="005A4349" w:rsidP="00835A0E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5pt"/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Нарушение антимонопольных требований к торгам, запросу котировок </w:t>
            </w:r>
          </w:p>
          <w:p w:rsidR="00D330C7" w:rsidRPr="00835A0E" w:rsidRDefault="005A4349" w:rsidP="00835A0E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на товары, запросу предложений (ст</w:t>
            </w:r>
            <w:r w:rsidR="00D24566" w:rsidRPr="00835A0E">
              <w:rPr>
                <w:rStyle w:val="25pt"/>
                <w:sz w:val="20"/>
                <w:szCs w:val="18"/>
              </w:rPr>
              <w:t>.</w:t>
            </w:r>
            <w:r w:rsidRPr="00835A0E">
              <w:rPr>
                <w:rStyle w:val="25pt"/>
                <w:sz w:val="20"/>
                <w:szCs w:val="18"/>
              </w:rPr>
              <w:t>17 135-ФЗ)</w:t>
            </w:r>
          </w:p>
        </w:tc>
        <w:tc>
          <w:tcPr>
            <w:tcW w:w="1472" w:type="dxa"/>
            <w:shd w:val="clear" w:color="auto" w:fill="FFFFFF"/>
          </w:tcPr>
          <w:p w:rsidR="00D330C7" w:rsidRPr="00835A0E" w:rsidRDefault="00835A0E" w:rsidP="00835A0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86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</w:t>
            </w:r>
          </w:p>
          <w:p w:rsidR="00D330C7" w:rsidRPr="00835A0E" w:rsidRDefault="00835A0E" w:rsidP="00835A0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86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уровня системы внутреннего контроля</w:t>
            </w:r>
          </w:p>
        </w:tc>
        <w:tc>
          <w:tcPr>
            <w:tcW w:w="2922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Поддержание </w:t>
            </w:r>
            <w:r w:rsidRPr="00835A0E">
              <w:rPr>
                <w:rStyle w:val="25pt"/>
                <w:sz w:val="20"/>
                <w:szCs w:val="18"/>
              </w:rPr>
              <w:t>в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 актуальном состоянии правовой базы осуществления закупок товаров, </w:t>
            </w:r>
            <w:r w:rsidR="00D24566" w:rsidRPr="00835A0E">
              <w:rPr>
                <w:rStyle w:val="25pt"/>
                <w:sz w:val="20"/>
                <w:szCs w:val="18"/>
              </w:rPr>
              <w:t>работ</w:t>
            </w:r>
            <w:r>
              <w:rPr>
                <w:rStyle w:val="25pt"/>
                <w:sz w:val="20"/>
                <w:szCs w:val="18"/>
              </w:rPr>
              <w:t xml:space="preserve">, </w:t>
            </w:r>
            <w:r w:rsidR="005A4349" w:rsidRPr="00835A0E">
              <w:rPr>
                <w:rStyle w:val="25pt"/>
                <w:sz w:val="20"/>
                <w:szCs w:val="18"/>
              </w:rPr>
              <w:t>услуг для обеспечения государственных нужд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4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 контрактных служб, контрактных управляющих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3) </w:t>
            </w:r>
            <w:r w:rsidR="005A4349" w:rsidRPr="00835A0E">
              <w:rPr>
                <w:rStyle w:val="25pt"/>
                <w:sz w:val="20"/>
                <w:szCs w:val="18"/>
              </w:rPr>
              <w:t>Семинары и круглые столы с участием заказчиков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4) </w:t>
            </w:r>
            <w:r w:rsidR="005A4349" w:rsidRPr="00835A0E">
              <w:rPr>
                <w:rStyle w:val="25pt"/>
                <w:sz w:val="20"/>
                <w:szCs w:val="18"/>
              </w:rPr>
              <w:t>Предварительная оценка последствий принятия каждым членом закупочной комиссии конкретного решения о</w:t>
            </w:r>
            <w:r w:rsidR="00A61297" w:rsidRPr="00835A0E">
              <w:rPr>
                <w:rStyle w:val="25pt"/>
                <w:sz w:val="20"/>
                <w:szCs w:val="18"/>
              </w:rPr>
              <w:t xml:space="preserve"> </w:t>
            </w:r>
            <w:r w:rsidR="00D24566" w:rsidRPr="00835A0E">
              <w:rPr>
                <w:rStyle w:val="25pt"/>
                <w:sz w:val="20"/>
                <w:szCs w:val="18"/>
              </w:rPr>
              <w:t>допуске</w:t>
            </w:r>
            <w:r w:rsidR="005A4349" w:rsidRPr="00835A0E">
              <w:rPr>
                <w:rStyle w:val="25pt"/>
                <w:sz w:val="20"/>
                <w:szCs w:val="18"/>
              </w:rPr>
              <w:t>/недопуске к участию в конкурентной процедуре</w:t>
            </w:r>
          </w:p>
        </w:tc>
        <w:tc>
          <w:tcPr>
            <w:tcW w:w="3119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Справочно-правовая система, содержащая актуальные нормативные правовые акты, регулирующие вопросы осуществления закупок товаров, работ, услуг для обеспечения государственных нужд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 контрактных служб, контрактных управляющих, членов закупочных комиссий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3) </w:t>
            </w:r>
            <w:r w:rsidR="005A4349" w:rsidRPr="00835A0E">
              <w:rPr>
                <w:rStyle w:val="25pt"/>
                <w:sz w:val="20"/>
                <w:szCs w:val="18"/>
              </w:rPr>
              <w:t>Семинары и круглые столы с участием заказчиков</w:t>
            </w:r>
          </w:p>
        </w:tc>
        <w:tc>
          <w:tcPr>
            <w:tcW w:w="1701" w:type="dxa"/>
            <w:shd w:val="clear" w:color="auto" w:fill="FFFFFF"/>
          </w:tcPr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Повышенная персональная ответственность каждого члена закупочной комиссии, принимающего решение о </w:t>
            </w:r>
            <w:r w:rsidR="00D24566" w:rsidRPr="00835A0E">
              <w:rPr>
                <w:rStyle w:val="25pt"/>
                <w:sz w:val="20"/>
                <w:szCs w:val="18"/>
              </w:rPr>
              <w:t>д</w:t>
            </w:r>
            <w:r w:rsidRPr="00835A0E">
              <w:rPr>
                <w:rStyle w:val="25pt"/>
                <w:sz w:val="20"/>
                <w:szCs w:val="18"/>
              </w:rPr>
              <w:t>опуске/н</w:t>
            </w:r>
            <w:r w:rsidR="00D24566" w:rsidRPr="00835A0E">
              <w:rPr>
                <w:rStyle w:val="25pt"/>
                <w:sz w:val="20"/>
                <w:szCs w:val="18"/>
              </w:rPr>
              <w:t>е</w:t>
            </w:r>
            <w:r w:rsidRPr="00835A0E">
              <w:rPr>
                <w:rStyle w:val="25pt"/>
                <w:sz w:val="20"/>
                <w:szCs w:val="18"/>
              </w:rPr>
              <w:t>допуск</w:t>
            </w:r>
            <w:r w:rsidR="00D24566" w:rsidRPr="00835A0E">
              <w:rPr>
                <w:rStyle w:val="25pt"/>
                <w:sz w:val="20"/>
                <w:szCs w:val="18"/>
              </w:rPr>
              <w:t>е</w:t>
            </w:r>
            <w:r w:rsidRPr="00835A0E">
              <w:rPr>
                <w:rStyle w:val="25pt"/>
                <w:sz w:val="20"/>
                <w:szCs w:val="18"/>
              </w:rPr>
              <w:t xml:space="preserve"> к участию в конкурентных процедурах</w:t>
            </w:r>
          </w:p>
        </w:tc>
        <w:tc>
          <w:tcPr>
            <w:tcW w:w="992" w:type="dxa"/>
            <w:shd w:val="clear" w:color="auto" w:fill="FFFFFF"/>
          </w:tcPr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Постоянно</w:t>
            </w:r>
          </w:p>
        </w:tc>
        <w:tc>
          <w:tcPr>
            <w:tcW w:w="1632" w:type="dxa"/>
            <w:shd w:val="clear" w:color="auto" w:fill="FFFFFF"/>
          </w:tcPr>
          <w:p w:rsidR="00975464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5pt"/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Исключение случаев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принятия решений о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допуске</w:t>
            </w:r>
            <w:r w:rsidR="00D24566" w:rsidRPr="00835A0E">
              <w:rPr>
                <w:rStyle w:val="25pt"/>
                <w:sz w:val="20"/>
                <w:szCs w:val="18"/>
              </w:rPr>
              <w:t>/</w:t>
            </w:r>
          </w:p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недопуске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участников к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участию в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конкурентных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процедурах,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повлекших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нарушение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антимонопольного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законодательства</w:t>
            </w:r>
          </w:p>
        </w:tc>
        <w:tc>
          <w:tcPr>
            <w:tcW w:w="2341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Информационное взаимодействие с заказчиками с целью выработки единых подходов, в том числе процедуре принятия решений о допуске/</w:t>
            </w:r>
            <w:r w:rsidR="00F16986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недопуске к участию в конкурентных процедурах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Мониторинг рассмотрения контрольными органами в сфере закупок, антимонопольным органом жалоб на действия (бездействие) субъектов контроля</w:t>
            </w:r>
          </w:p>
        </w:tc>
      </w:tr>
      <w:tr w:rsidR="00D330C7" w:rsidRPr="00D24566" w:rsidTr="00975464">
        <w:trPr>
          <w:trHeight w:val="2189"/>
        </w:trPr>
        <w:tc>
          <w:tcPr>
            <w:tcW w:w="284" w:type="dxa"/>
            <w:shd w:val="clear" w:color="auto" w:fill="FFFFFF"/>
          </w:tcPr>
          <w:p w:rsidR="00D330C7" w:rsidRPr="00D24566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24566">
              <w:rPr>
                <w:rStyle w:val="25pt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Нарушение процедуры торгов и порядка заключения договоров, порядка осуществления процедур, включенных в исчерпывающие перечни процедур в сферах строительства (ст</w:t>
            </w:r>
            <w:r w:rsidR="00D24566" w:rsidRPr="00835A0E">
              <w:rPr>
                <w:rStyle w:val="25pt"/>
                <w:sz w:val="20"/>
                <w:szCs w:val="18"/>
              </w:rPr>
              <w:t>.</w:t>
            </w:r>
            <w:r w:rsidRPr="00835A0E">
              <w:rPr>
                <w:rStyle w:val="25pt"/>
                <w:sz w:val="20"/>
                <w:szCs w:val="18"/>
              </w:rPr>
              <w:t>18.1 135-ФЗ)</w:t>
            </w:r>
          </w:p>
        </w:tc>
        <w:tc>
          <w:tcPr>
            <w:tcW w:w="1472" w:type="dxa"/>
            <w:shd w:val="clear" w:color="auto" w:fill="FFFFFF"/>
          </w:tcPr>
          <w:p w:rsidR="00D330C7" w:rsidRPr="00835A0E" w:rsidRDefault="00835A0E" w:rsidP="00835A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86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</w:t>
            </w:r>
          </w:p>
          <w:p w:rsidR="00D330C7" w:rsidRPr="00835A0E" w:rsidRDefault="00835A0E" w:rsidP="00835A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86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уровня системы внутреннего контроля</w:t>
            </w:r>
          </w:p>
        </w:tc>
        <w:tc>
          <w:tcPr>
            <w:tcW w:w="2922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4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Систематический анализ и оценка принимаемых органом исполнительной власти решений, осуществляемых действий (бездействия) на предмет соответствия требованиям антимонопольного законодательства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Повышение квалификации сотрудников контрактных служб, контрактных управляющих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3) </w:t>
            </w:r>
            <w:r w:rsidR="005A4349" w:rsidRPr="00835A0E">
              <w:rPr>
                <w:rStyle w:val="25pt"/>
                <w:sz w:val="20"/>
                <w:szCs w:val="18"/>
              </w:rPr>
              <w:t>Семинары и круглые столы с участием заказчиков</w:t>
            </w:r>
          </w:p>
        </w:tc>
        <w:tc>
          <w:tcPr>
            <w:tcW w:w="3119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Справочно-</w:t>
            </w:r>
            <w:r w:rsidRPr="00835A0E">
              <w:rPr>
                <w:rStyle w:val="25pt"/>
                <w:sz w:val="20"/>
                <w:szCs w:val="18"/>
              </w:rPr>
              <w:t>п</w:t>
            </w:r>
            <w:r w:rsidR="005A4349" w:rsidRPr="00835A0E">
              <w:rPr>
                <w:rStyle w:val="25pt"/>
                <w:sz w:val="20"/>
                <w:szCs w:val="18"/>
              </w:rPr>
              <w:t>ра</w:t>
            </w:r>
            <w:r w:rsidRPr="00835A0E">
              <w:rPr>
                <w:rStyle w:val="25pt"/>
                <w:sz w:val="20"/>
                <w:szCs w:val="18"/>
              </w:rPr>
              <w:t>в</w:t>
            </w:r>
            <w:r w:rsidR="005A4349" w:rsidRPr="00835A0E">
              <w:rPr>
                <w:rStyle w:val="25pt"/>
                <w:sz w:val="20"/>
                <w:szCs w:val="18"/>
              </w:rPr>
              <w:t>ова</w:t>
            </w:r>
            <w:r w:rsidRPr="00835A0E">
              <w:rPr>
                <w:rStyle w:val="25pt"/>
                <w:sz w:val="20"/>
                <w:szCs w:val="18"/>
              </w:rPr>
              <w:t>я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 система, содержащая актуальное антимонопольное законодательство</w:t>
            </w:r>
          </w:p>
          <w:p w:rsidR="00835A0E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rStyle w:val="25pt"/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Повышение квалификации сотрудников, ответственных за принятие актов </w:t>
            </w:r>
            <w:r w:rsidR="00975464">
              <w:rPr>
                <w:rStyle w:val="25pt"/>
                <w:sz w:val="20"/>
                <w:szCs w:val="18"/>
              </w:rPr>
              <w:t>об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 осуществлени</w:t>
            </w:r>
            <w:r w:rsidR="00975464">
              <w:rPr>
                <w:rStyle w:val="25pt"/>
                <w:sz w:val="20"/>
                <w:szCs w:val="18"/>
              </w:rPr>
              <w:t>и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 действий (бездействие), которые могут принести к недопущению, ограничению, устранению конкуренции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sz w:val="20"/>
                <w:szCs w:val="18"/>
              </w:rPr>
              <w:t xml:space="preserve">3) </w:t>
            </w:r>
            <w:r w:rsidR="005A4349" w:rsidRPr="00835A0E">
              <w:rPr>
                <w:rStyle w:val="25pt"/>
                <w:sz w:val="20"/>
                <w:szCs w:val="18"/>
              </w:rPr>
              <w:t>Семинары, предусматривающие моделирование кейсов осуществления действий (бездействия), которые приводят или могут привести к недопущению, ограничению, устранению конкуренции, в целях недопущения данных нарушений</w:t>
            </w:r>
          </w:p>
        </w:tc>
        <w:tc>
          <w:tcPr>
            <w:tcW w:w="1701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Персональная ответственность каждого лица, вовлеченного в процесс подготовки, согласования, принятия актов органов исполнительной власти города Москвы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>Повышенная ответственность лиц, осуществляющих действия (бездействие), которые могут привести к недопущению, ограничению, устранению конкуренции</w:t>
            </w:r>
          </w:p>
        </w:tc>
        <w:tc>
          <w:tcPr>
            <w:tcW w:w="992" w:type="dxa"/>
            <w:shd w:val="clear" w:color="auto" w:fill="FFFFFF"/>
          </w:tcPr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Постоянно</w:t>
            </w:r>
          </w:p>
        </w:tc>
        <w:tc>
          <w:tcPr>
            <w:tcW w:w="1632" w:type="dxa"/>
            <w:shd w:val="clear" w:color="auto" w:fill="FFFFFF"/>
          </w:tcPr>
          <w:p w:rsidR="00D330C7" w:rsidRPr="00835A0E" w:rsidRDefault="005A4349" w:rsidP="00A6129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>Исключение случаев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принятия актов и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осуществления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действий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(бездействия),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которые приводят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или могут привести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 xml:space="preserve">к 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недопущению,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ограничению,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устранению</w:t>
            </w:r>
            <w:r w:rsidR="00D24566" w:rsidRPr="00835A0E">
              <w:rPr>
                <w:rStyle w:val="25pt"/>
                <w:sz w:val="20"/>
                <w:szCs w:val="18"/>
              </w:rPr>
              <w:t xml:space="preserve"> </w:t>
            </w:r>
            <w:r w:rsidRPr="00835A0E">
              <w:rPr>
                <w:rStyle w:val="25pt"/>
                <w:sz w:val="20"/>
                <w:szCs w:val="18"/>
              </w:rPr>
              <w:t>конкуренции</w:t>
            </w:r>
          </w:p>
        </w:tc>
        <w:tc>
          <w:tcPr>
            <w:tcW w:w="2341" w:type="dxa"/>
            <w:shd w:val="clear" w:color="auto" w:fill="FFFFFF"/>
          </w:tcPr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25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1) </w:t>
            </w:r>
            <w:r w:rsidR="005A4349" w:rsidRPr="00835A0E">
              <w:rPr>
                <w:rStyle w:val="25pt"/>
                <w:sz w:val="20"/>
                <w:szCs w:val="18"/>
              </w:rPr>
              <w:t>Информационное взаимодействие с должностными лицами органов исполнительной власти города Москвы, ответственными за подготовку, согласование, принятие актов в смежных сферах общественных правоотношений, а также с должностными лицами, осуществляющими действия (бездействие), которые могут привести к недопущению, ограничению, устранению конкуренции</w:t>
            </w:r>
          </w:p>
          <w:p w:rsidR="00D330C7" w:rsidRPr="00835A0E" w:rsidRDefault="00835A0E" w:rsidP="00835A0E">
            <w:pPr>
              <w:pStyle w:val="20"/>
              <w:shd w:val="clear" w:color="auto" w:fill="auto"/>
              <w:tabs>
                <w:tab w:val="left" w:pos="110"/>
              </w:tabs>
              <w:spacing w:line="240" w:lineRule="auto"/>
              <w:ind w:firstLine="0"/>
              <w:jc w:val="left"/>
              <w:rPr>
                <w:sz w:val="20"/>
                <w:szCs w:val="18"/>
              </w:rPr>
            </w:pPr>
            <w:r w:rsidRPr="00835A0E">
              <w:rPr>
                <w:rStyle w:val="25pt"/>
                <w:sz w:val="20"/>
                <w:szCs w:val="18"/>
              </w:rPr>
              <w:t xml:space="preserve">2) </w:t>
            </w:r>
            <w:r w:rsidR="005A4349" w:rsidRPr="00835A0E">
              <w:rPr>
                <w:rStyle w:val="25pt"/>
                <w:sz w:val="20"/>
                <w:szCs w:val="18"/>
              </w:rPr>
              <w:t xml:space="preserve">Мониторинг и анализ практики применения </w:t>
            </w:r>
            <w:r w:rsidR="00A61297" w:rsidRPr="00835A0E">
              <w:rPr>
                <w:rStyle w:val="25pt"/>
                <w:sz w:val="20"/>
                <w:szCs w:val="18"/>
              </w:rPr>
              <w:t xml:space="preserve">антимонопольного </w:t>
            </w:r>
            <w:r w:rsidR="005A4349" w:rsidRPr="00835A0E">
              <w:rPr>
                <w:rStyle w:val="25pt"/>
                <w:sz w:val="20"/>
                <w:szCs w:val="18"/>
              </w:rPr>
              <w:t>законодательства</w:t>
            </w:r>
          </w:p>
        </w:tc>
      </w:tr>
    </w:tbl>
    <w:p w:rsidR="00D330C7" w:rsidRDefault="00D330C7">
      <w:pPr>
        <w:rPr>
          <w:sz w:val="20"/>
          <w:szCs w:val="20"/>
        </w:rPr>
      </w:pPr>
    </w:p>
    <w:p w:rsidR="00A61297" w:rsidRPr="00D24566" w:rsidRDefault="00A61297">
      <w:pPr>
        <w:rPr>
          <w:sz w:val="20"/>
          <w:szCs w:val="20"/>
        </w:rPr>
      </w:pPr>
    </w:p>
    <w:sectPr w:rsidR="00A61297" w:rsidRPr="00D24566" w:rsidSect="00835A0E">
      <w:pgSz w:w="16840" w:h="11909" w:orient="landscape"/>
      <w:pgMar w:top="567" w:right="1440" w:bottom="709" w:left="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B7" w:rsidRDefault="00EC1DB7">
      <w:r>
        <w:separator/>
      </w:r>
    </w:p>
  </w:endnote>
  <w:endnote w:type="continuationSeparator" w:id="0">
    <w:p w:rsidR="00EC1DB7" w:rsidRDefault="00EC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B7" w:rsidRDefault="00EC1DB7"/>
  </w:footnote>
  <w:footnote w:type="continuationSeparator" w:id="0">
    <w:p w:rsidR="00EC1DB7" w:rsidRDefault="00EC1D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9C6"/>
    <w:multiLevelType w:val="multilevel"/>
    <w:tmpl w:val="EBF0D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014B2"/>
    <w:multiLevelType w:val="multilevel"/>
    <w:tmpl w:val="45125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C7CAE"/>
    <w:multiLevelType w:val="multilevel"/>
    <w:tmpl w:val="B582E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622241"/>
    <w:multiLevelType w:val="multilevel"/>
    <w:tmpl w:val="86B8E0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465B9A"/>
    <w:multiLevelType w:val="multilevel"/>
    <w:tmpl w:val="0CD6B5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E246E"/>
    <w:multiLevelType w:val="multilevel"/>
    <w:tmpl w:val="9F74C5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550CA3"/>
    <w:multiLevelType w:val="multilevel"/>
    <w:tmpl w:val="854669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77240A"/>
    <w:multiLevelType w:val="multilevel"/>
    <w:tmpl w:val="53507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DD6889"/>
    <w:multiLevelType w:val="multilevel"/>
    <w:tmpl w:val="709C7F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740D92"/>
    <w:multiLevelType w:val="multilevel"/>
    <w:tmpl w:val="B240B2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7747DC"/>
    <w:multiLevelType w:val="multilevel"/>
    <w:tmpl w:val="68F296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A5806"/>
    <w:multiLevelType w:val="multilevel"/>
    <w:tmpl w:val="354AAC5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F33916"/>
    <w:multiLevelType w:val="multilevel"/>
    <w:tmpl w:val="2F5433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972759"/>
    <w:multiLevelType w:val="multilevel"/>
    <w:tmpl w:val="3F368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C6020D"/>
    <w:multiLevelType w:val="multilevel"/>
    <w:tmpl w:val="0E7884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03054D"/>
    <w:multiLevelType w:val="multilevel"/>
    <w:tmpl w:val="25548D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12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4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7"/>
    <w:rsid w:val="00103244"/>
    <w:rsid w:val="00272702"/>
    <w:rsid w:val="002D2A96"/>
    <w:rsid w:val="002F7262"/>
    <w:rsid w:val="003713EA"/>
    <w:rsid w:val="003F3E91"/>
    <w:rsid w:val="004A57E6"/>
    <w:rsid w:val="004C108F"/>
    <w:rsid w:val="004F0DF5"/>
    <w:rsid w:val="00557352"/>
    <w:rsid w:val="0057123F"/>
    <w:rsid w:val="005A4349"/>
    <w:rsid w:val="006A2201"/>
    <w:rsid w:val="00835A0E"/>
    <w:rsid w:val="00843EA0"/>
    <w:rsid w:val="009164DD"/>
    <w:rsid w:val="009365D0"/>
    <w:rsid w:val="00975464"/>
    <w:rsid w:val="009B3DB4"/>
    <w:rsid w:val="00A61297"/>
    <w:rsid w:val="00A77307"/>
    <w:rsid w:val="00AA3830"/>
    <w:rsid w:val="00AA5E8A"/>
    <w:rsid w:val="00AC4B6C"/>
    <w:rsid w:val="00B46CBF"/>
    <w:rsid w:val="00B85025"/>
    <w:rsid w:val="00C65C52"/>
    <w:rsid w:val="00D055A0"/>
    <w:rsid w:val="00D24566"/>
    <w:rsid w:val="00D330C7"/>
    <w:rsid w:val="00D61C94"/>
    <w:rsid w:val="00EA0172"/>
    <w:rsid w:val="00EC1DB7"/>
    <w:rsid w:val="00F16986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1C94"/>
    <w:rPr>
      <w:color w:val="0066CC"/>
      <w:u w:val="single"/>
    </w:rPr>
  </w:style>
  <w:style w:type="character" w:customStyle="1" w:styleId="4">
    <w:name w:val="Основной текст (4)"/>
    <w:basedOn w:val="a0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4">
    <w:name w:val="Заголовок №2"/>
    <w:basedOn w:val="22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61C94"/>
    <w:rPr>
      <w:rFonts w:ascii="Segoe UI" w:eastAsia="Segoe UI" w:hAnsi="Segoe UI" w:cs="Segoe UI"/>
      <w:b/>
      <w:bCs/>
      <w:i w:val="0"/>
      <w:iCs w:val="0"/>
      <w:smallCaps w:val="0"/>
      <w:strike w:val="0"/>
      <w:spacing w:val="70"/>
      <w:sz w:val="42"/>
      <w:szCs w:val="42"/>
      <w:u w:val="none"/>
    </w:rPr>
  </w:style>
  <w:style w:type="character" w:customStyle="1" w:styleId="11">
    <w:name w:val="Заголовок №1"/>
    <w:basedOn w:val="1"/>
    <w:rsid w:val="00D61C9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7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61C9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61C9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TimesNewRoman">
    <w:name w:val="Основной текст (5) + Times New Roman;Полужирный"/>
    <w:basedOn w:val="5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SegoeUI85pt">
    <w:name w:val="Основной текст (5) + Segoe UI;8;5 pt"/>
    <w:basedOn w:val="5"/>
    <w:rsid w:val="00D61C9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4pt">
    <w:name w:val="Основной текст (6) + 14 pt"/>
    <w:basedOn w:val="6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1C9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D61C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61C9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Колонтитул_"/>
    <w:basedOn w:val="a0"/>
    <w:link w:val="a5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Подпись к таблице_"/>
    <w:basedOn w:val="a0"/>
    <w:link w:val="a7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5pt">
    <w:name w:val="Основной текст (2) + 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">
    <w:name w:val="Основной текст (2) + 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D61C94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61C94"/>
    <w:pPr>
      <w:shd w:val="clear" w:color="auto" w:fill="FFFFFF"/>
      <w:spacing w:line="0" w:lineRule="atLeas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D61C94"/>
    <w:pPr>
      <w:shd w:val="clear" w:color="auto" w:fill="FFFFFF"/>
      <w:spacing w:line="0" w:lineRule="atLeast"/>
      <w:ind w:firstLine="760"/>
      <w:jc w:val="both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0">
    <w:name w:val="Заголовок №1"/>
    <w:basedOn w:val="a"/>
    <w:link w:val="1"/>
    <w:rsid w:val="00D61C94"/>
    <w:pPr>
      <w:shd w:val="clear" w:color="auto" w:fill="FFFFFF"/>
      <w:spacing w:line="0" w:lineRule="atLeast"/>
      <w:jc w:val="center"/>
      <w:outlineLvl w:val="0"/>
    </w:pPr>
    <w:rPr>
      <w:rFonts w:ascii="Segoe UI" w:eastAsia="Segoe UI" w:hAnsi="Segoe UI" w:cs="Segoe UI"/>
      <w:b/>
      <w:bCs/>
      <w:spacing w:val="70"/>
      <w:sz w:val="42"/>
      <w:szCs w:val="42"/>
    </w:rPr>
  </w:style>
  <w:style w:type="paragraph" w:customStyle="1" w:styleId="30">
    <w:name w:val="Основной текст (3)"/>
    <w:basedOn w:val="a"/>
    <w:link w:val="3"/>
    <w:rsid w:val="00D61C94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9"/>
      <w:szCs w:val="19"/>
    </w:rPr>
  </w:style>
  <w:style w:type="paragraph" w:customStyle="1" w:styleId="32">
    <w:name w:val="Заголовок №3"/>
    <w:basedOn w:val="a"/>
    <w:link w:val="31"/>
    <w:rsid w:val="00D61C94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61C94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rsid w:val="00D61C94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D61C94"/>
    <w:pPr>
      <w:shd w:val="clear" w:color="auto" w:fill="FFFFFF"/>
      <w:spacing w:line="317" w:lineRule="exact"/>
    </w:pPr>
    <w:rPr>
      <w:sz w:val="22"/>
      <w:szCs w:val="22"/>
    </w:rPr>
  </w:style>
  <w:style w:type="paragraph" w:customStyle="1" w:styleId="80">
    <w:name w:val="Основной текст (8)"/>
    <w:basedOn w:val="a"/>
    <w:link w:val="8"/>
    <w:rsid w:val="00D61C9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a5">
    <w:name w:val="Колонтитул"/>
    <w:basedOn w:val="a"/>
    <w:link w:val="a4"/>
    <w:rsid w:val="00D61C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7">
    <w:name w:val="Подпись к таблице"/>
    <w:basedOn w:val="a"/>
    <w:link w:val="a6"/>
    <w:rsid w:val="00D61C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D24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566"/>
    <w:rPr>
      <w:color w:val="000000"/>
    </w:rPr>
  </w:style>
  <w:style w:type="paragraph" w:styleId="aa">
    <w:name w:val="footer"/>
    <w:basedOn w:val="a"/>
    <w:link w:val="ab"/>
    <w:uiPriority w:val="99"/>
    <w:unhideWhenUsed/>
    <w:rsid w:val="00D24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45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1C94"/>
    <w:rPr>
      <w:color w:val="0066CC"/>
      <w:u w:val="single"/>
    </w:rPr>
  </w:style>
  <w:style w:type="character" w:customStyle="1" w:styleId="4">
    <w:name w:val="Основной текст (4)"/>
    <w:basedOn w:val="a0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4">
    <w:name w:val="Заголовок №2"/>
    <w:basedOn w:val="22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61C94"/>
    <w:rPr>
      <w:rFonts w:ascii="Segoe UI" w:eastAsia="Segoe UI" w:hAnsi="Segoe UI" w:cs="Segoe UI"/>
      <w:b/>
      <w:bCs/>
      <w:i w:val="0"/>
      <w:iCs w:val="0"/>
      <w:smallCaps w:val="0"/>
      <w:strike w:val="0"/>
      <w:spacing w:val="70"/>
      <w:sz w:val="42"/>
      <w:szCs w:val="42"/>
      <w:u w:val="none"/>
    </w:rPr>
  </w:style>
  <w:style w:type="character" w:customStyle="1" w:styleId="11">
    <w:name w:val="Заголовок №1"/>
    <w:basedOn w:val="1"/>
    <w:rsid w:val="00D61C9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7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61C9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61C9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TimesNewRoman">
    <w:name w:val="Основной текст (5) + Times New Roman;Полужирный"/>
    <w:basedOn w:val="5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SegoeUI85pt">
    <w:name w:val="Основной текст (5) + Segoe UI;8;5 pt"/>
    <w:basedOn w:val="5"/>
    <w:rsid w:val="00D61C9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4pt">
    <w:name w:val="Основной текст (6) + 14 pt"/>
    <w:basedOn w:val="6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1C9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D61C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61C9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Колонтитул_"/>
    <w:basedOn w:val="a0"/>
    <w:link w:val="a5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Подпись к таблице_"/>
    <w:basedOn w:val="a0"/>
    <w:link w:val="a7"/>
    <w:rsid w:val="00D61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5pt">
    <w:name w:val="Основной текст (2) + 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">
    <w:name w:val="Основной текст (2) + 5 pt"/>
    <w:basedOn w:val="2"/>
    <w:rsid w:val="00D61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D61C94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61C94"/>
    <w:pPr>
      <w:shd w:val="clear" w:color="auto" w:fill="FFFFFF"/>
      <w:spacing w:line="0" w:lineRule="atLeas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D61C94"/>
    <w:pPr>
      <w:shd w:val="clear" w:color="auto" w:fill="FFFFFF"/>
      <w:spacing w:line="0" w:lineRule="atLeast"/>
      <w:ind w:firstLine="760"/>
      <w:jc w:val="both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0">
    <w:name w:val="Заголовок №1"/>
    <w:basedOn w:val="a"/>
    <w:link w:val="1"/>
    <w:rsid w:val="00D61C94"/>
    <w:pPr>
      <w:shd w:val="clear" w:color="auto" w:fill="FFFFFF"/>
      <w:spacing w:line="0" w:lineRule="atLeast"/>
      <w:jc w:val="center"/>
      <w:outlineLvl w:val="0"/>
    </w:pPr>
    <w:rPr>
      <w:rFonts w:ascii="Segoe UI" w:eastAsia="Segoe UI" w:hAnsi="Segoe UI" w:cs="Segoe UI"/>
      <w:b/>
      <w:bCs/>
      <w:spacing w:val="70"/>
      <w:sz w:val="42"/>
      <w:szCs w:val="42"/>
    </w:rPr>
  </w:style>
  <w:style w:type="paragraph" w:customStyle="1" w:styleId="30">
    <w:name w:val="Основной текст (3)"/>
    <w:basedOn w:val="a"/>
    <w:link w:val="3"/>
    <w:rsid w:val="00D61C94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9"/>
      <w:szCs w:val="19"/>
    </w:rPr>
  </w:style>
  <w:style w:type="paragraph" w:customStyle="1" w:styleId="32">
    <w:name w:val="Заголовок №3"/>
    <w:basedOn w:val="a"/>
    <w:link w:val="31"/>
    <w:rsid w:val="00D61C94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61C94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rsid w:val="00D61C94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D61C94"/>
    <w:pPr>
      <w:shd w:val="clear" w:color="auto" w:fill="FFFFFF"/>
      <w:spacing w:line="317" w:lineRule="exact"/>
    </w:pPr>
    <w:rPr>
      <w:sz w:val="22"/>
      <w:szCs w:val="22"/>
    </w:rPr>
  </w:style>
  <w:style w:type="paragraph" w:customStyle="1" w:styleId="80">
    <w:name w:val="Основной текст (8)"/>
    <w:basedOn w:val="a"/>
    <w:link w:val="8"/>
    <w:rsid w:val="00D61C9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a5">
    <w:name w:val="Колонтитул"/>
    <w:basedOn w:val="a"/>
    <w:link w:val="a4"/>
    <w:rsid w:val="00D61C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7">
    <w:name w:val="Подпись к таблице"/>
    <w:basedOn w:val="a"/>
    <w:link w:val="a6"/>
    <w:rsid w:val="00D61C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D24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566"/>
    <w:rPr>
      <w:color w:val="000000"/>
    </w:rPr>
  </w:style>
  <w:style w:type="paragraph" w:styleId="aa">
    <w:name w:val="footer"/>
    <w:basedOn w:val="a"/>
    <w:link w:val="ab"/>
    <w:uiPriority w:val="99"/>
    <w:unhideWhenUsed/>
    <w:rsid w:val="00D24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45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 Леончик</dc:creator>
  <cp:lastModifiedBy>Пользователь-21</cp:lastModifiedBy>
  <cp:revision>2</cp:revision>
  <cp:lastPrinted>2025-03-20T08:35:00Z</cp:lastPrinted>
  <dcterms:created xsi:type="dcterms:W3CDTF">2026-03-23T07:42:00Z</dcterms:created>
  <dcterms:modified xsi:type="dcterms:W3CDTF">2026-03-23T07:42:00Z</dcterms:modified>
</cp:coreProperties>
</file>